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61D6" w:rsidRPr="007F4021" w:rsidRDefault="00D761D6" w:rsidP="00D761D6">
      <w:pPr>
        <w:spacing w:line="360" w:lineRule="auto"/>
        <w:rPr>
          <w:rFonts w:ascii="Times New Roman" w:hAnsi="Times New Roman"/>
          <w:sz w:val="24"/>
          <w:szCs w:val="24"/>
        </w:rPr>
      </w:pPr>
      <w:r w:rsidRPr="00A62C39">
        <w:rPr>
          <w:rFonts w:ascii="Times New Roman" w:hAnsi="Times New Roman"/>
          <w:b/>
          <w:sz w:val="24"/>
          <w:szCs w:val="24"/>
        </w:rPr>
        <w:t>Supplementary Material</w:t>
      </w:r>
    </w:p>
    <w:p w:rsidR="00D761D6" w:rsidRDefault="00D761D6" w:rsidP="00D761D6">
      <w:pPr>
        <w:spacing w:line="360" w:lineRule="auto"/>
        <w:rPr>
          <w:rFonts w:ascii="Times New Roman" w:hAnsi="Times New Roman"/>
          <w:sz w:val="24"/>
          <w:szCs w:val="24"/>
        </w:rPr>
      </w:pPr>
      <w:r w:rsidRPr="00D024DD">
        <w:rPr>
          <w:rFonts w:ascii="Times New Roman" w:hAnsi="Times New Roman"/>
          <w:sz w:val="24"/>
          <w:szCs w:val="24"/>
        </w:rPr>
        <w:t xml:space="preserve">The health insurance system was first introduced to China mainland in the 1980s and expanded to over the past decades. </w:t>
      </w:r>
      <w:r w:rsidRPr="003F56AB">
        <w:rPr>
          <w:rFonts w:ascii="Times New Roman" w:hAnsi="Times New Roman"/>
          <w:sz w:val="24"/>
          <w:szCs w:val="24"/>
        </w:rPr>
        <w:t>Since 2009, China has launched a new health-care reform plan, anchored in expanding health insurance coverage, in order to establish a</w:t>
      </w:r>
      <w:r w:rsidRPr="003F56AB">
        <w:rPr>
          <w:rFonts w:ascii="Cambria Math" w:hAnsi="Cambria Math" w:cs="Cambria Math"/>
          <w:sz w:val="24"/>
          <w:szCs w:val="24"/>
        </w:rPr>
        <w:t>ﬀ</w:t>
      </w:r>
      <w:r w:rsidRPr="003F56AB">
        <w:rPr>
          <w:rFonts w:ascii="Times New Roman" w:hAnsi="Times New Roman"/>
          <w:sz w:val="24"/>
          <w:szCs w:val="24"/>
        </w:rPr>
        <w:t>ordable and equitable basic health</w:t>
      </w:r>
      <w:r>
        <w:rPr>
          <w:rFonts w:ascii="Times New Roman" w:hAnsi="Times New Roman"/>
          <w:sz w:val="24"/>
          <w:szCs w:val="24"/>
        </w:rPr>
        <w:t>-</w:t>
      </w:r>
      <w:r w:rsidRPr="003F56AB">
        <w:rPr>
          <w:rFonts w:ascii="Times New Roman" w:hAnsi="Times New Roman"/>
          <w:sz w:val="24"/>
          <w:szCs w:val="24"/>
        </w:rPr>
        <w:t>care for all by 2020</w:t>
      </w:r>
      <w:r>
        <w:rPr>
          <w:rFonts w:ascii="Times New Roman" w:hAnsi="Times New Roman" w:hint="eastAsia"/>
          <w:sz w:val="24"/>
          <w:szCs w:val="24"/>
        </w:rPr>
        <w:t xml:space="preserve"> [1]</w:t>
      </w:r>
      <w:r w:rsidRPr="003F56AB">
        <w:rPr>
          <w:rFonts w:ascii="Times New Roman" w:hAnsi="Times New Roman"/>
          <w:sz w:val="24"/>
          <w:szCs w:val="24"/>
        </w:rPr>
        <w:t xml:space="preserve">. Over the past ten years, the health insurance system in China </w:t>
      </w:r>
      <w:r>
        <w:rPr>
          <w:rFonts w:ascii="Times New Roman" w:hAnsi="Times New Roman"/>
          <w:sz w:val="24"/>
          <w:szCs w:val="24"/>
        </w:rPr>
        <w:t xml:space="preserve">has </w:t>
      </w:r>
      <w:r w:rsidRPr="003F56AB">
        <w:rPr>
          <w:rFonts w:ascii="Times New Roman" w:hAnsi="Times New Roman"/>
          <w:sz w:val="24"/>
          <w:szCs w:val="24"/>
        </w:rPr>
        <w:t>gr</w:t>
      </w:r>
      <w:r>
        <w:rPr>
          <w:rFonts w:ascii="Times New Roman" w:hAnsi="Times New Roman"/>
          <w:sz w:val="24"/>
          <w:szCs w:val="24"/>
        </w:rPr>
        <w:t>own</w:t>
      </w:r>
      <w:r w:rsidRPr="003F56AB">
        <w:rPr>
          <w:rFonts w:ascii="Times New Roman" w:hAnsi="Times New Roman"/>
          <w:sz w:val="24"/>
          <w:szCs w:val="24"/>
        </w:rPr>
        <w:t xml:space="preserve"> rapidly </w:t>
      </w:r>
      <w:r>
        <w:rPr>
          <w:rFonts w:ascii="Times New Roman" w:hAnsi="Times New Roman"/>
          <w:sz w:val="24"/>
          <w:szCs w:val="24"/>
        </w:rPr>
        <w:t xml:space="preserve">to cover </w:t>
      </w:r>
      <w:r w:rsidRPr="00F16F22">
        <w:rPr>
          <w:rFonts w:ascii="Times New Roman" w:hAnsi="Times New Roman"/>
          <w:sz w:val="24"/>
          <w:szCs w:val="24"/>
        </w:rPr>
        <w:t>95.7% of the total population</w:t>
      </w:r>
      <w:r>
        <w:rPr>
          <w:rFonts w:ascii="Times New Roman" w:hAnsi="Times New Roman"/>
          <w:sz w:val="24"/>
          <w:szCs w:val="24"/>
        </w:rPr>
        <w:t>.</w:t>
      </w:r>
      <w:r w:rsidRPr="00F16F22">
        <w:rPr>
          <w:rFonts w:ascii="Times New Roman" w:hAnsi="Times New Roman"/>
          <w:sz w:val="24"/>
          <w:szCs w:val="24"/>
        </w:rPr>
        <w:t xml:space="preserve"> </w:t>
      </w:r>
      <w:r>
        <w:rPr>
          <w:rFonts w:ascii="Times New Roman" w:hAnsi="Times New Roman"/>
          <w:sz w:val="24"/>
          <w:szCs w:val="24"/>
        </w:rPr>
        <w:t>It</w:t>
      </w:r>
      <w:r w:rsidRPr="003F56AB">
        <w:rPr>
          <w:rFonts w:ascii="Times New Roman" w:hAnsi="Times New Roman"/>
          <w:sz w:val="24"/>
          <w:szCs w:val="24"/>
        </w:rPr>
        <w:t xml:space="preserve"> is </w:t>
      </w:r>
      <w:r>
        <w:rPr>
          <w:rFonts w:ascii="Times New Roman" w:hAnsi="Times New Roman"/>
          <w:sz w:val="24"/>
          <w:szCs w:val="24"/>
        </w:rPr>
        <w:t xml:space="preserve">however </w:t>
      </w:r>
      <w:r w:rsidRPr="003F56AB">
        <w:rPr>
          <w:rFonts w:ascii="Times New Roman" w:hAnsi="Times New Roman"/>
          <w:sz w:val="24"/>
          <w:szCs w:val="24"/>
        </w:rPr>
        <w:t>characterized by multiple co-existing insurance schemes with varying co</w:t>
      </w:r>
      <w:r>
        <w:rPr>
          <w:rFonts w:ascii="Times New Roman" w:hAnsi="Times New Roman"/>
          <w:sz w:val="24"/>
          <w:szCs w:val="24"/>
        </w:rPr>
        <w:t>insurance systems</w:t>
      </w:r>
      <w:r w:rsidRPr="003F56AB">
        <w:rPr>
          <w:rFonts w:ascii="Times New Roman" w:hAnsi="Times New Roman"/>
          <w:sz w:val="24"/>
          <w:szCs w:val="24"/>
        </w:rPr>
        <w:t xml:space="preserve"> and coverage </w:t>
      </w:r>
      <w:r>
        <w:rPr>
          <w:rFonts w:ascii="Times New Roman" w:hAnsi="Times New Roman"/>
          <w:sz w:val="24"/>
          <w:szCs w:val="24"/>
        </w:rPr>
        <w:t>of</w:t>
      </w:r>
      <w:r w:rsidRPr="003F56AB">
        <w:rPr>
          <w:rFonts w:ascii="Times New Roman" w:hAnsi="Times New Roman"/>
          <w:sz w:val="24"/>
          <w:szCs w:val="24"/>
        </w:rPr>
        <w:t xml:space="preserve"> medical expenditures</w:t>
      </w:r>
      <w:r>
        <w:rPr>
          <w:rFonts w:ascii="Times New Roman" w:hAnsi="Times New Roman" w:hint="eastAsia"/>
          <w:sz w:val="24"/>
          <w:szCs w:val="24"/>
        </w:rPr>
        <w:t xml:space="preserve"> [2]</w:t>
      </w:r>
      <w:r w:rsidRPr="003F56AB">
        <w:rPr>
          <w:rFonts w:ascii="Times New Roman" w:hAnsi="Times New Roman"/>
          <w:sz w:val="24"/>
          <w:szCs w:val="24"/>
        </w:rPr>
        <w:t xml:space="preserve">. </w:t>
      </w:r>
    </w:p>
    <w:p w:rsidR="00D761D6" w:rsidRDefault="00D761D6" w:rsidP="00D761D6">
      <w:pPr>
        <w:spacing w:line="360" w:lineRule="auto"/>
        <w:rPr>
          <w:rFonts w:ascii="Times New Roman" w:hAnsi="Times New Roman"/>
          <w:sz w:val="24"/>
          <w:szCs w:val="24"/>
        </w:rPr>
      </w:pPr>
    </w:p>
    <w:p w:rsidR="00D761D6" w:rsidRPr="00D024DD" w:rsidRDefault="00D761D6" w:rsidP="00D761D6">
      <w:pPr>
        <w:spacing w:line="360" w:lineRule="auto"/>
        <w:rPr>
          <w:rFonts w:ascii="Times New Roman" w:hAnsi="Times New Roman"/>
          <w:sz w:val="24"/>
          <w:szCs w:val="24"/>
        </w:rPr>
      </w:pPr>
      <w:r w:rsidRPr="00D024DD">
        <w:rPr>
          <w:rFonts w:ascii="Times New Roman" w:hAnsi="Times New Roman"/>
          <w:sz w:val="24"/>
          <w:szCs w:val="24"/>
        </w:rPr>
        <w:t xml:space="preserve">The majority of the insurance market is state-run, while commercial insurance </w:t>
      </w:r>
      <w:r>
        <w:rPr>
          <w:rFonts w:ascii="Times New Roman" w:hAnsi="Times New Roman"/>
          <w:sz w:val="24"/>
          <w:szCs w:val="24"/>
        </w:rPr>
        <w:t xml:space="preserve">(n=11 in our sample) </w:t>
      </w:r>
      <w:r w:rsidRPr="00D024DD">
        <w:rPr>
          <w:rFonts w:ascii="Times New Roman" w:hAnsi="Times New Roman"/>
          <w:sz w:val="24"/>
          <w:szCs w:val="24"/>
        </w:rPr>
        <w:t>is purchased by some individuals as a complement.</w:t>
      </w:r>
      <w:r w:rsidRPr="00D024DD">
        <w:rPr>
          <w:sz w:val="24"/>
          <w:szCs w:val="24"/>
        </w:rPr>
        <w:t xml:space="preserve"> </w:t>
      </w:r>
      <w:r>
        <w:rPr>
          <w:sz w:val="24"/>
          <w:szCs w:val="24"/>
        </w:rPr>
        <w:t xml:space="preserve">The </w:t>
      </w:r>
      <w:r>
        <w:rPr>
          <w:rFonts w:ascii="Times New Roman" w:hAnsi="Times New Roman"/>
          <w:sz w:val="24"/>
          <w:szCs w:val="24"/>
        </w:rPr>
        <w:t>public</w:t>
      </w:r>
      <w:r w:rsidRPr="003F56AB">
        <w:rPr>
          <w:rFonts w:ascii="Times New Roman" w:hAnsi="Times New Roman"/>
          <w:sz w:val="24"/>
          <w:szCs w:val="24"/>
        </w:rPr>
        <w:t xml:space="preserve"> insurance schemes are administered </w:t>
      </w:r>
      <w:r>
        <w:rPr>
          <w:rFonts w:ascii="Times New Roman" w:hAnsi="Times New Roman"/>
          <w:sz w:val="24"/>
          <w:szCs w:val="24"/>
        </w:rPr>
        <w:t xml:space="preserve">by different </w:t>
      </w:r>
      <w:r w:rsidRPr="003F56AB">
        <w:rPr>
          <w:rFonts w:ascii="Times New Roman" w:hAnsi="Times New Roman"/>
          <w:sz w:val="24"/>
          <w:szCs w:val="24"/>
        </w:rPr>
        <w:t>national</w:t>
      </w:r>
      <w:r>
        <w:rPr>
          <w:rFonts w:ascii="Times New Roman" w:hAnsi="Times New Roman"/>
          <w:sz w:val="24"/>
          <w:szCs w:val="24"/>
        </w:rPr>
        <w:t xml:space="preserve"> institutions</w:t>
      </w:r>
      <w:r w:rsidRPr="003F56AB">
        <w:rPr>
          <w:rFonts w:ascii="Times New Roman" w:hAnsi="Times New Roman"/>
          <w:sz w:val="24"/>
          <w:szCs w:val="24"/>
        </w:rPr>
        <w:t xml:space="preserve"> and operated </w:t>
      </w:r>
      <w:r>
        <w:rPr>
          <w:rFonts w:ascii="Times New Roman" w:hAnsi="Times New Roman"/>
          <w:sz w:val="24"/>
          <w:szCs w:val="24"/>
        </w:rPr>
        <w:t xml:space="preserve">by </w:t>
      </w:r>
      <w:r w:rsidRPr="003F56AB">
        <w:rPr>
          <w:rFonts w:ascii="Times New Roman" w:hAnsi="Times New Roman"/>
          <w:sz w:val="24"/>
          <w:szCs w:val="24"/>
        </w:rPr>
        <w:t>loca</w:t>
      </w:r>
      <w:r>
        <w:rPr>
          <w:rFonts w:ascii="Times New Roman" w:hAnsi="Times New Roman"/>
          <w:sz w:val="24"/>
          <w:szCs w:val="24"/>
        </w:rPr>
        <w:t>l governments</w:t>
      </w:r>
      <w:r w:rsidRPr="001128AE">
        <w:rPr>
          <w:rFonts w:ascii="Times New Roman" w:hAnsi="Times New Roman"/>
          <w:sz w:val="24"/>
          <w:szCs w:val="24"/>
        </w:rPr>
        <w:t>.</w:t>
      </w:r>
      <w:r>
        <w:rPr>
          <w:rFonts w:ascii="Times New Roman" w:hAnsi="Times New Roman" w:hint="eastAsia"/>
          <w:sz w:val="24"/>
          <w:szCs w:val="24"/>
        </w:rPr>
        <w:t xml:space="preserve"> </w:t>
      </w:r>
      <w:r w:rsidRPr="00D024DD">
        <w:rPr>
          <w:rFonts w:ascii="Times New Roman" w:hAnsi="Times New Roman"/>
          <w:sz w:val="24"/>
          <w:szCs w:val="24"/>
        </w:rPr>
        <w:t>NRCMS is administered by the Chinese National Health and Family Planning Commission and financed at the county level, while URBMI and UEBMI are administered by the Chinese Ministry of Human Resources and Social Security and financed at the municipal (prefecture) level in 2013</w:t>
      </w:r>
      <w:r>
        <w:rPr>
          <w:rFonts w:ascii="Times New Roman" w:hAnsi="Times New Roman" w:hint="eastAsia"/>
          <w:sz w:val="24"/>
          <w:szCs w:val="24"/>
        </w:rPr>
        <w:t xml:space="preserve"> [3]</w:t>
      </w:r>
      <w:r w:rsidRPr="00D024DD">
        <w:rPr>
          <w:rFonts w:ascii="Times New Roman" w:hAnsi="Times New Roman"/>
          <w:sz w:val="24"/>
          <w:szCs w:val="24"/>
        </w:rPr>
        <w:t>. Thus, the benefit packages and financial support are fragmented and inequitable across the schemes. For example, compared with UEBMI and URBMI, NRCMS is limited to a lower reimbursement cap and covers a narrower spectrum of diseases.</w:t>
      </w:r>
      <w:r>
        <w:rPr>
          <w:rFonts w:ascii="Times New Roman" w:hAnsi="Times New Roman"/>
          <w:sz w:val="24"/>
          <w:szCs w:val="24"/>
        </w:rPr>
        <w:t xml:space="preserve"> </w:t>
      </w:r>
      <w:r w:rsidRPr="003F56AB">
        <w:rPr>
          <w:rFonts w:ascii="Times New Roman" w:hAnsi="Times New Roman"/>
          <w:sz w:val="24"/>
          <w:szCs w:val="24"/>
        </w:rPr>
        <w:t xml:space="preserve">The mean reimbursement rate for NRCMS is mainly 50-65%, which is much lower than UEBMI </w:t>
      </w:r>
      <w:r>
        <w:rPr>
          <w:rFonts w:ascii="Times New Roman" w:hAnsi="Times New Roman"/>
          <w:sz w:val="24"/>
          <w:szCs w:val="24"/>
        </w:rPr>
        <w:t xml:space="preserve">with a rate of </w:t>
      </w:r>
      <w:r w:rsidRPr="003F56AB">
        <w:rPr>
          <w:rFonts w:ascii="Times New Roman" w:hAnsi="Times New Roman"/>
          <w:sz w:val="24"/>
          <w:szCs w:val="24"/>
        </w:rPr>
        <w:t>85-95%</w:t>
      </w:r>
      <w:r>
        <w:rPr>
          <w:rFonts w:ascii="Times New Roman" w:hAnsi="Times New Roman" w:hint="eastAsia"/>
          <w:sz w:val="24"/>
          <w:szCs w:val="24"/>
        </w:rPr>
        <w:t xml:space="preserve"> [4]</w:t>
      </w:r>
      <w:r w:rsidRPr="003F56AB">
        <w:rPr>
          <w:rFonts w:ascii="Times New Roman" w:hAnsi="Times New Roman"/>
          <w:sz w:val="24"/>
          <w:szCs w:val="24"/>
        </w:rPr>
        <w:t>. The disparities</w:t>
      </w:r>
      <w:r>
        <w:rPr>
          <w:rFonts w:ascii="Times New Roman" w:hAnsi="Times New Roman"/>
          <w:sz w:val="24"/>
          <w:szCs w:val="24"/>
        </w:rPr>
        <w:t xml:space="preserve"> </w:t>
      </w:r>
      <w:r w:rsidRPr="003F56AB">
        <w:rPr>
          <w:rFonts w:ascii="Times New Roman" w:hAnsi="Times New Roman"/>
          <w:sz w:val="24"/>
          <w:szCs w:val="24"/>
        </w:rPr>
        <w:t xml:space="preserve">between urban and rural </w:t>
      </w:r>
      <w:r>
        <w:rPr>
          <w:rFonts w:ascii="Times New Roman" w:hAnsi="Times New Roman"/>
          <w:sz w:val="24"/>
          <w:szCs w:val="24"/>
        </w:rPr>
        <w:t>health insurances</w:t>
      </w:r>
      <w:r w:rsidRPr="003F56AB">
        <w:rPr>
          <w:rFonts w:ascii="Times New Roman" w:hAnsi="Times New Roman"/>
          <w:sz w:val="24"/>
          <w:szCs w:val="24"/>
        </w:rPr>
        <w:t xml:space="preserve"> are thus considerable.</w:t>
      </w:r>
    </w:p>
    <w:p w:rsidR="00D761D6" w:rsidRDefault="00D761D6" w:rsidP="00D761D6">
      <w:pPr>
        <w:spacing w:line="360" w:lineRule="auto"/>
        <w:rPr>
          <w:rFonts w:ascii="Times New Roman" w:hAnsi="Times New Roman"/>
          <w:sz w:val="28"/>
        </w:rPr>
      </w:pPr>
    </w:p>
    <w:p w:rsidR="00D761D6" w:rsidRDefault="00D761D6" w:rsidP="00D761D6">
      <w:pPr>
        <w:spacing w:line="360" w:lineRule="auto"/>
        <w:rPr>
          <w:rFonts w:ascii="Times New Roman" w:hAnsi="Times New Roman"/>
          <w:b/>
          <w:kern w:val="0"/>
          <w:sz w:val="24"/>
          <w:szCs w:val="24"/>
        </w:rPr>
      </w:pPr>
      <w:r>
        <w:rPr>
          <w:rFonts w:ascii="Times New Roman" w:hAnsi="Times New Roman"/>
          <w:b/>
          <w:kern w:val="0"/>
          <w:sz w:val="24"/>
          <w:szCs w:val="24"/>
        </w:rPr>
        <w:t>References</w:t>
      </w:r>
    </w:p>
    <w:p w:rsidR="00D761D6" w:rsidRDefault="00D761D6" w:rsidP="00D761D6">
      <w:pPr>
        <w:pStyle w:val="EndNoteBibliography"/>
        <w:spacing w:line="480" w:lineRule="auto"/>
        <w:rPr>
          <w:rFonts w:ascii="Times New Roman" w:hAnsi="Times New Roman"/>
          <w:sz w:val="24"/>
          <w:szCs w:val="24"/>
        </w:rPr>
      </w:pPr>
      <w:r w:rsidRPr="00D024DD">
        <w:rPr>
          <w:rFonts w:ascii="Times New Roman" w:hAnsi="Times New Roman"/>
          <w:sz w:val="24"/>
          <w:szCs w:val="24"/>
        </w:rPr>
        <w:t>1.</w:t>
      </w:r>
      <w:r w:rsidRPr="00D024DD">
        <w:rPr>
          <w:rFonts w:ascii="Times New Roman" w:hAnsi="Times New Roman"/>
          <w:sz w:val="24"/>
          <w:szCs w:val="24"/>
        </w:rPr>
        <w:tab/>
        <w:t>Chen Z. Launch of the health-care reform plan in China. Lancet</w:t>
      </w:r>
      <w:r>
        <w:rPr>
          <w:rFonts w:ascii="Times New Roman" w:hAnsi="Times New Roman" w:hint="eastAsia"/>
          <w:sz w:val="24"/>
          <w:szCs w:val="24"/>
        </w:rPr>
        <w:t>.</w:t>
      </w:r>
      <w:r w:rsidRPr="00D024DD">
        <w:rPr>
          <w:rFonts w:ascii="Times New Roman" w:hAnsi="Times New Roman"/>
          <w:sz w:val="24"/>
          <w:szCs w:val="24"/>
        </w:rPr>
        <w:t xml:space="preserve"> 2009; </w:t>
      </w:r>
      <w:r w:rsidRPr="007019A4">
        <w:rPr>
          <w:rFonts w:ascii="Times New Roman" w:hAnsi="Times New Roman"/>
          <w:sz w:val="24"/>
          <w:szCs w:val="24"/>
        </w:rPr>
        <w:t>373(9672):1322-</w:t>
      </w:r>
      <w:r>
        <w:rPr>
          <w:rFonts w:ascii="Times New Roman" w:hAnsi="Times New Roman" w:hint="eastAsia"/>
          <w:sz w:val="24"/>
          <w:szCs w:val="24"/>
        </w:rPr>
        <w:t>132</w:t>
      </w:r>
      <w:r w:rsidRPr="007019A4">
        <w:rPr>
          <w:rFonts w:ascii="Times New Roman" w:hAnsi="Times New Roman"/>
          <w:sz w:val="24"/>
          <w:szCs w:val="24"/>
        </w:rPr>
        <w:t>4.</w:t>
      </w:r>
    </w:p>
    <w:p w:rsidR="00D761D6" w:rsidRDefault="00D761D6" w:rsidP="00D761D6">
      <w:pPr>
        <w:pStyle w:val="EndNoteBibliography"/>
        <w:spacing w:line="480" w:lineRule="auto"/>
        <w:rPr>
          <w:rFonts w:ascii="Times New Roman" w:hAnsi="Times New Roman"/>
          <w:sz w:val="24"/>
          <w:szCs w:val="24"/>
        </w:rPr>
      </w:pPr>
      <w:r w:rsidRPr="00D024DD">
        <w:rPr>
          <w:rFonts w:ascii="Times New Roman" w:hAnsi="Times New Roman"/>
          <w:sz w:val="24"/>
          <w:szCs w:val="24"/>
        </w:rPr>
        <w:t>2.</w:t>
      </w:r>
      <w:r w:rsidRPr="00D024DD">
        <w:rPr>
          <w:rFonts w:ascii="Times New Roman" w:hAnsi="Times New Roman"/>
          <w:sz w:val="24"/>
          <w:szCs w:val="24"/>
        </w:rPr>
        <w:tab/>
      </w:r>
      <w:r w:rsidRPr="007019A4">
        <w:rPr>
          <w:rFonts w:ascii="Times New Roman" w:hAnsi="Times New Roman"/>
          <w:sz w:val="24"/>
          <w:szCs w:val="24"/>
        </w:rPr>
        <w:t xml:space="preserve">Yang J, Siri JG, Remais JV, Cheng Q, Zhang H, Chan KKY, Sun Z, Zhao Y, Cong N, Li X et al: The Tsinghua-Lancet Commission on Healthy Cities in China: </w:t>
      </w:r>
      <w:r w:rsidRPr="007019A4">
        <w:rPr>
          <w:rFonts w:ascii="Times New Roman" w:hAnsi="Times New Roman"/>
          <w:sz w:val="24"/>
          <w:szCs w:val="24"/>
        </w:rPr>
        <w:lastRenderedPageBreak/>
        <w:t>unlocking the power of cities for a healthy China. Lancet</w:t>
      </w:r>
      <w:r>
        <w:rPr>
          <w:rFonts w:ascii="Times New Roman" w:hAnsi="Times New Roman" w:hint="eastAsia"/>
          <w:sz w:val="24"/>
          <w:szCs w:val="24"/>
        </w:rPr>
        <w:t>.</w:t>
      </w:r>
      <w:r w:rsidRPr="007019A4">
        <w:rPr>
          <w:rFonts w:ascii="Times New Roman" w:hAnsi="Times New Roman"/>
          <w:sz w:val="24"/>
          <w:szCs w:val="24"/>
        </w:rPr>
        <w:t xml:space="preserve"> 2018</w:t>
      </w:r>
      <w:r>
        <w:rPr>
          <w:rFonts w:ascii="Times New Roman" w:hAnsi="Times New Roman" w:hint="eastAsia"/>
          <w:sz w:val="24"/>
          <w:szCs w:val="24"/>
        </w:rPr>
        <w:t>;</w:t>
      </w:r>
      <w:r w:rsidRPr="007019A4">
        <w:rPr>
          <w:rFonts w:ascii="Times New Roman" w:hAnsi="Times New Roman"/>
          <w:sz w:val="24"/>
          <w:szCs w:val="24"/>
        </w:rPr>
        <w:t>391(10135):2140-2184.</w:t>
      </w:r>
    </w:p>
    <w:p w:rsidR="00D761D6" w:rsidRPr="00D024DD" w:rsidRDefault="00D761D6" w:rsidP="00D761D6">
      <w:pPr>
        <w:pStyle w:val="EndNoteBibliography"/>
        <w:spacing w:line="480" w:lineRule="auto"/>
        <w:rPr>
          <w:rFonts w:ascii="Times New Roman" w:hAnsi="Times New Roman"/>
          <w:sz w:val="24"/>
          <w:szCs w:val="24"/>
        </w:rPr>
      </w:pPr>
      <w:r w:rsidRPr="00D024DD">
        <w:rPr>
          <w:rFonts w:ascii="Times New Roman" w:hAnsi="Times New Roman"/>
          <w:sz w:val="24"/>
          <w:szCs w:val="24"/>
        </w:rPr>
        <w:t>3.</w:t>
      </w:r>
      <w:r w:rsidRPr="00D024DD">
        <w:rPr>
          <w:rFonts w:ascii="Times New Roman" w:hAnsi="Times New Roman"/>
          <w:sz w:val="24"/>
          <w:szCs w:val="24"/>
        </w:rPr>
        <w:tab/>
      </w:r>
      <w:r w:rsidRPr="007019A4">
        <w:rPr>
          <w:rFonts w:ascii="Times New Roman" w:hAnsi="Times New Roman"/>
          <w:sz w:val="24"/>
          <w:szCs w:val="24"/>
        </w:rPr>
        <w:t>Meng Q, Fang H, Liu X, Yuan B, Xu J: Consolidating the social health insurance schemes in China: towards an equitable and efficient health system. Lancet</w:t>
      </w:r>
      <w:r>
        <w:rPr>
          <w:rFonts w:ascii="Times New Roman" w:hAnsi="Times New Roman" w:hint="eastAsia"/>
          <w:sz w:val="24"/>
          <w:szCs w:val="24"/>
        </w:rPr>
        <w:t>.</w:t>
      </w:r>
      <w:r w:rsidRPr="007019A4">
        <w:rPr>
          <w:rFonts w:ascii="Times New Roman" w:hAnsi="Times New Roman"/>
          <w:sz w:val="24"/>
          <w:szCs w:val="24"/>
        </w:rPr>
        <w:t xml:space="preserve"> 2015</w:t>
      </w:r>
      <w:r>
        <w:rPr>
          <w:rFonts w:ascii="Times New Roman" w:hAnsi="Times New Roman" w:hint="eastAsia"/>
          <w:sz w:val="24"/>
          <w:szCs w:val="24"/>
        </w:rPr>
        <w:t>;</w:t>
      </w:r>
      <w:r w:rsidRPr="007019A4">
        <w:rPr>
          <w:rFonts w:ascii="Times New Roman" w:hAnsi="Times New Roman"/>
          <w:sz w:val="24"/>
          <w:szCs w:val="24"/>
        </w:rPr>
        <w:t>386(10002):1484-1492.</w:t>
      </w:r>
    </w:p>
    <w:p w:rsidR="00D761D6" w:rsidRPr="00D024DD" w:rsidRDefault="00D761D6" w:rsidP="00D761D6">
      <w:pPr>
        <w:spacing w:line="480" w:lineRule="auto"/>
        <w:rPr>
          <w:rFonts w:ascii="Times New Roman" w:hAnsi="Times New Roman"/>
          <w:sz w:val="24"/>
          <w:szCs w:val="24"/>
        </w:rPr>
      </w:pPr>
      <w:r w:rsidRPr="00D024DD">
        <w:rPr>
          <w:rFonts w:ascii="Times New Roman" w:hAnsi="Times New Roman"/>
          <w:kern w:val="0"/>
          <w:sz w:val="24"/>
          <w:szCs w:val="24"/>
        </w:rPr>
        <w:t>4.</w:t>
      </w:r>
      <w:r w:rsidRPr="00D024DD">
        <w:rPr>
          <w:rFonts w:ascii="Times New Roman" w:hAnsi="Times New Roman"/>
          <w:kern w:val="0"/>
          <w:sz w:val="24"/>
          <w:szCs w:val="24"/>
        </w:rPr>
        <w:tab/>
      </w:r>
      <w:r w:rsidRPr="007019A4">
        <w:rPr>
          <w:rFonts w:ascii="Times New Roman" w:hAnsi="Times New Roman"/>
          <w:kern w:val="0"/>
          <w:sz w:val="24"/>
          <w:szCs w:val="24"/>
        </w:rPr>
        <w:t xml:space="preserve">Pan Y, Chen S, Chen M, Zhang P, Long Q, </w:t>
      </w:r>
      <w:proofErr w:type="gramStart"/>
      <w:r w:rsidRPr="007019A4">
        <w:rPr>
          <w:rFonts w:ascii="Times New Roman" w:hAnsi="Times New Roman"/>
          <w:kern w:val="0"/>
          <w:sz w:val="24"/>
          <w:szCs w:val="24"/>
        </w:rPr>
        <w:t>Xiang</w:t>
      </w:r>
      <w:proofErr w:type="gramEnd"/>
      <w:r w:rsidRPr="007019A4">
        <w:rPr>
          <w:rFonts w:ascii="Times New Roman" w:hAnsi="Times New Roman"/>
          <w:kern w:val="0"/>
          <w:sz w:val="24"/>
          <w:szCs w:val="24"/>
        </w:rPr>
        <w:t xml:space="preserve"> L, Lucas H: Disparity in reimbursement for tuberculosis care among different health insurance schemes: evidence from three counties in central China.</w:t>
      </w:r>
      <w:r w:rsidRPr="00D024DD">
        <w:rPr>
          <w:rFonts w:ascii="Times New Roman" w:hAnsi="Times New Roman"/>
          <w:kern w:val="0"/>
          <w:sz w:val="24"/>
          <w:szCs w:val="24"/>
        </w:rPr>
        <w:t xml:space="preserve"> Infect Dis Poverty</w:t>
      </w:r>
      <w:r>
        <w:rPr>
          <w:rFonts w:ascii="Times New Roman" w:hAnsi="Times New Roman" w:hint="eastAsia"/>
          <w:kern w:val="0"/>
          <w:sz w:val="24"/>
          <w:szCs w:val="24"/>
        </w:rPr>
        <w:t>.</w:t>
      </w:r>
      <w:r w:rsidRPr="00D024DD">
        <w:rPr>
          <w:rFonts w:ascii="Times New Roman" w:hAnsi="Times New Roman"/>
          <w:kern w:val="0"/>
          <w:sz w:val="24"/>
          <w:szCs w:val="24"/>
        </w:rPr>
        <w:t xml:space="preserve"> </w:t>
      </w:r>
      <w:proofErr w:type="gramStart"/>
      <w:r w:rsidRPr="00D024DD">
        <w:rPr>
          <w:rFonts w:ascii="Times New Roman" w:hAnsi="Times New Roman"/>
          <w:kern w:val="0"/>
          <w:sz w:val="24"/>
          <w:szCs w:val="24"/>
        </w:rPr>
        <w:t>2016; 5: 7.</w:t>
      </w:r>
      <w:proofErr w:type="gramEnd"/>
    </w:p>
    <w:p w:rsidR="00365864" w:rsidRDefault="007F535D">
      <w:bookmarkStart w:id="0" w:name="_GoBack"/>
      <w:bookmarkEnd w:id="0"/>
    </w:p>
    <w:sectPr w:rsidR="003658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535D" w:rsidRDefault="007F535D" w:rsidP="00D761D6">
      <w:r>
        <w:separator/>
      </w:r>
    </w:p>
  </w:endnote>
  <w:endnote w:type="continuationSeparator" w:id="0">
    <w:p w:rsidR="007F535D" w:rsidRDefault="007F535D" w:rsidP="00D761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535D" w:rsidRDefault="007F535D" w:rsidP="00D761D6">
      <w:r>
        <w:separator/>
      </w:r>
    </w:p>
  </w:footnote>
  <w:footnote w:type="continuationSeparator" w:id="0">
    <w:p w:rsidR="007F535D" w:rsidRDefault="007F535D" w:rsidP="00D761D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4921"/>
    <w:rsid w:val="005C4921"/>
    <w:rsid w:val="007F39DE"/>
    <w:rsid w:val="007F535D"/>
    <w:rsid w:val="00D761D6"/>
    <w:rsid w:val="00EC50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61D6"/>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761D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761D6"/>
    <w:rPr>
      <w:sz w:val="18"/>
      <w:szCs w:val="18"/>
    </w:rPr>
  </w:style>
  <w:style w:type="paragraph" w:styleId="a4">
    <w:name w:val="footer"/>
    <w:basedOn w:val="a"/>
    <w:link w:val="Char0"/>
    <w:uiPriority w:val="99"/>
    <w:unhideWhenUsed/>
    <w:rsid w:val="00D761D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761D6"/>
    <w:rPr>
      <w:sz w:val="18"/>
      <w:szCs w:val="18"/>
    </w:rPr>
  </w:style>
  <w:style w:type="paragraph" w:customStyle="1" w:styleId="EndNoteBibliography">
    <w:name w:val="EndNote Bibliography"/>
    <w:basedOn w:val="a"/>
    <w:link w:val="EndNoteBibliographyChar"/>
    <w:rsid w:val="00D761D6"/>
    <w:rPr>
      <w:noProof/>
      <w:sz w:val="20"/>
    </w:rPr>
  </w:style>
  <w:style w:type="character" w:customStyle="1" w:styleId="EndNoteBibliographyChar">
    <w:name w:val="EndNote Bibliography Char"/>
    <w:basedOn w:val="a0"/>
    <w:link w:val="EndNoteBibliography"/>
    <w:rsid w:val="00D761D6"/>
    <w:rPr>
      <w:rFonts w:ascii="Calibri" w:eastAsia="宋体" w:hAnsi="Calibri" w:cs="Times New Roman"/>
      <w:noProof/>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61D6"/>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761D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761D6"/>
    <w:rPr>
      <w:sz w:val="18"/>
      <w:szCs w:val="18"/>
    </w:rPr>
  </w:style>
  <w:style w:type="paragraph" w:styleId="a4">
    <w:name w:val="footer"/>
    <w:basedOn w:val="a"/>
    <w:link w:val="Char0"/>
    <w:uiPriority w:val="99"/>
    <w:unhideWhenUsed/>
    <w:rsid w:val="00D761D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761D6"/>
    <w:rPr>
      <w:sz w:val="18"/>
      <w:szCs w:val="18"/>
    </w:rPr>
  </w:style>
  <w:style w:type="paragraph" w:customStyle="1" w:styleId="EndNoteBibliography">
    <w:name w:val="EndNote Bibliography"/>
    <w:basedOn w:val="a"/>
    <w:link w:val="EndNoteBibliographyChar"/>
    <w:rsid w:val="00D761D6"/>
    <w:rPr>
      <w:noProof/>
      <w:sz w:val="20"/>
    </w:rPr>
  </w:style>
  <w:style w:type="character" w:customStyle="1" w:styleId="EndNoteBibliographyChar">
    <w:name w:val="EndNote Bibliography Char"/>
    <w:basedOn w:val="a0"/>
    <w:link w:val="EndNoteBibliography"/>
    <w:rsid w:val="00D761D6"/>
    <w:rPr>
      <w:rFonts w:ascii="Calibri" w:eastAsia="宋体" w:hAnsi="Calibri" w:cs="Times New Roman"/>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349</Words>
  <Characters>1994</Characters>
  <Application>Microsoft Office Word</Application>
  <DocSecurity>0</DocSecurity>
  <Lines>16</Lines>
  <Paragraphs>4</Paragraphs>
  <ScaleCrop>false</ScaleCrop>
  <Company/>
  <LinksUpToDate>false</LinksUpToDate>
  <CharactersWithSpaces>2339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2020-02-21T14:15:00Z</dcterms:created>
  <dcterms:modified xsi:type="dcterms:W3CDTF">2020-02-21T14:16:00Z</dcterms:modified>
</cp:coreProperties>
</file>